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R4-2209147</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09</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cs="Arial"/>
          <w:b/>
          <w:bCs/>
          <w:sz w:val="24"/>
          <w:szCs w:val="24"/>
        </w:rPr>
        <w:t>–</w:t>
      </w:r>
      <w:r>
        <w:rPr>
          <w:rFonts w:hint="eastAsia" w:ascii="Arial" w:hAnsi="Arial" w:eastAsia="宋体" w:cs="Arial"/>
          <w:b/>
          <w:bCs/>
          <w:sz w:val="24"/>
          <w:szCs w:val="24"/>
          <w:lang w:val="en-US" w:eastAsia="zh-CN"/>
        </w:rPr>
        <w:t>20</w:t>
      </w:r>
      <w:r>
        <w:rPr>
          <w:rFonts w:ascii="Arial" w:hAnsi="Arial" w:cs="Arial"/>
          <w:b/>
          <w:bCs/>
          <w:sz w:val="24"/>
          <w:szCs w:val="24"/>
        </w:rPr>
        <w:t xml:space="preserve"> 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color w:val="auto"/>
          <w:sz w:val="24"/>
        </w:rPr>
        <w:t>CRS-IM receiver in scenarios with overlapping spectrum for LTE and NR  </w:t>
      </w:r>
    </w:p>
    <w:p>
      <w:pPr>
        <w:pStyle w:val="13"/>
        <w:tabs>
          <w:tab w:val="left" w:pos="1800"/>
          <w:tab w:val="left" w:pos="3825"/>
          <w:tab w:val="clear" w:pos="4536"/>
          <w:tab w:val="clear" w:pos="9072"/>
        </w:tabs>
        <w:spacing w:after="60"/>
        <w:jc w:val="both"/>
        <w:rPr>
          <w:rFonts w:hint="default" w:eastAsia="宋体"/>
          <w:color w:val="auto"/>
          <w:sz w:val="24"/>
          <w:highlight w:val="none"/>
          <w:lang w:val="en-US" w:eastAsia="zh-CN"/>
        </w:rPr>
      </w:pPr>
      <w:r>
        <w:rPr>
          <w:color w:val="auto"/>
          <w:sz w:val="24"/>
        </w:rPr>
        <w:t>Agenda Item:</w:t>
      </w:r>
      <w:r>
        <w:rPr>
          <w:color w:val="auto"/>
          <w:sz w:val="24"/>
        </w:rPr>
        <w:tab/>
      </w:r>
      <w:r>
        <w:rPr>
          <w:rFonts w:hint="eastAsia" w:eastAsia="宋体"/>
          <w:color w:val="auto"/>
          <w:sz w:val="24"/>
          <w:lang w:val="en-US" w:eastAsia="zh-CN"/>
        </w:rPr>
        <w:t>9</w:t>
      </w:r>
      <w:r>
        <w:rPr>
          <w:rFonts w:hint="eastAsia" w:eastAsia="宋体"/>
          <w:color w:val="auto"/>
          <w:sz w:val="24"/>
          <w:highlight w:val="none"/>
          <w:lang w:val="en-US" w:eastAsia="zh-CN"/>
        </w:rPr>
        <w:t>.11.2.3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7"/>
        <w:numPr>
          <w:ilvl w:val="0"/>
          <w:numId w:val="0"/>
        </w:numPr>
        <w:tabs>
          <w:tab w:val="left" w:pos="226"/>
          <w:tab w:val="left" w:pos="284"/>
          <w:tab w:val="left" w:pos="5103"/>
        </w:tabs>
        <w:snapToGrid w:val="0"/>
        <w:spacing w:before="156" w:beforeLines="50"/>
        <w:ind w:leftChars="0"/>
        <w:jc w:val="both"/>
        <w:rPr>
          <w:rFonts w:hint="eastAsia" w:eastAsia="宋体"/>
          <w:sz w:val="21"/>
          <w:szCs w:val="21"/>
          <w:lang w:val="en-US" w:eastAsia="zh-CN"/>
        </w:rPr>
      </w:pPr>
      <w:r>
        <w:rPr>
          <w:rFonts w:hint="eastAsia" w:eastAsia="宋体"/>
          <w:sz w:val="21"/>
          <w:szCs w:val="21"/>
          <w:lang w:val="en-US" w:eastAsia="zh-CN"/>
        </w:rPr>
        <w:t xml:space="preserve">In RAN4#102-e meeting, test setup for 15 kHz SCS scenario was </w:t>
      </w:r>
      <w:r>
        <w:rPr>
          <w:rFonts w:eastAsia="宋体"/>
          <w:sz w:val="21"/>
          <w:szCs w:val="21"/>
          <w:lang w:val="en-US" w:eastAsia="zh-CN"/>
        </w:rPr>
        <w:t>discussed</w:t>
      </w:r>
      <w:r>
        <w:rPr>
          <w:rFonts w:hint="eastAsia" w:eastAsia="宋体"/>
          <w:sz w:val="21"/>
          <w:szCs w:val="21"/>
          <w:lang w:val="en-US" w:eastAsia="zh-CN"/>
        </w:rPr>
        <w:t xml:space="preserve">, and </w:t>
      </w:r>
      <w:r>
        <w:rPr>
          <w:rFonts w:eastAsia="宋体"/>
          <w:sz w:val="21"/>
          <w:szCs w:val="21"/>
          <w:lang w:val="en-US" w:eastAsia="zh-CN"/>
        </w:rPr>
        <w:t>a</w:t>
      </w:r>
      <w:r>
        <w:rPr>
          <w:rFonts w:hint="eastAsia" w:eastAsia="宋体"/>
          <w:sz w:val="21"/>
          <w:szCs w:val="21"/>
          <w:lang w:val="en-US" w:eastAsia="zh-CN"/>
        </w:rPr>
        <w:t xml:space="preserve"> way forward was agreed</w:t>
      </w:r>
      <w:r>
        <w:rPr>
          <w:rFonts w:eastAsia="宋体"/>
          <w:sz w:val="21"/>
          <w:szCs w:val="21"/>
          <w:lang w:val="en-US" w:eastAsia="zh-CN"/>
        </w:rPr>
        <w:t xml:space="preserve"> [1]</w:t>
      </w:r>
      <w:r>
        <w:rPr>
          <w:rFonts w:hint="eastAsia" w:eastAsia="宋体"/>
          <w:sz w:val="21"/>
          <w:szCs w:val="21"/>
          <w:lang w:val="en-US" w:eastAsia="zh-CN"/>
        </w:rPr>
        <w:t xml:space="preserve">. </w:t>
      </w:r>
      <w:r>
        <w:rPr>
          <w:rFonts w:eastAsia="宋体"/>
          <w:sz w:val="21"/>
          <w:szCs w:val="21"/>
          <w:lang w:val="en-US" w:eastAsia="zh-CN"/>
        </w:rPr>
        <w:t>Regarding</w:t>
      </w:r>
      <w:r>
        <w:rPr>
          <w:rFonts w:hint="eastAsia" w:eastAsia="宋体"/>
          <w:sz w:val="21"/>
          <w:szCs w:val="21"/>
          <w:lang w:val="en-US" w:eastAsia="zh-CN"/>
        </w:rPr>
        <w:t xml:space="preserve"> n</w:t>
      </w:r>
      <w:r>
        <w:rPr>
          <w:rFonts w:hint="eastAsia"/>
          <w:sz w:val="21"/>
          <w:szCs w:val="21"/>
          <w:lang w:val="en-US" w:eastAsia="zh-CN"/>
        </w:rPr>
        <w:t xml:space="preserve">ecessity of </w:t>
      </w:r>
      <w:r>
        <w:rPr>
          <w:rFonts w:hint="eastAsia" w:eastAsia="宋体"/>
          <w:sz w:val="21"/>
          <w:szCs w:val="21"/>
          <w:lang w:val="en-US" w:eastAsia="zh-CN"/>
        </w:rPr>
        <w:t xml:space="preserve">test setup for 15 kHz SCS scenario for CRS-IM receiver, there are still </w:t>
      </w:r>
      <w:r>
        <w:rPr>
          <w:rFonts w:eastAsia="宋体"/>
          <w:sz w:val="21"/>
          <w:szCs w:val="21"/>
          <w:lang w:val="en-US" w:eastAsia="zh-CN"/>
        </w:rPr>
        <w:t>issue</w:t>
      </w:r>
      <w:r>
        <w:rPr>
          <w:rFonts w:hint="eastAsia" w:eastAsia="宋体"/>
          <w:sz w:val="21"/>
          <w:szCs w:val="21"/>
          <w:lang w:val="en-US" w:eastAsia="zh-CN"/>
        </w:rPr>
        <w:t xml:space="preserve"> opens, we would like to share our views on the following issue for further discussion:</w:t>
      </w:r>
    </w:p>
    <w:p>
      <w:pPr>
        <w:numPr>
          <w:ilvl w:val="0"/>
          <w:numId w:val="4"/>
        </w:numPr>
        <w:snapToGrid w:val="0"/>
        <w:spacing w:before="120" w:after="120"/>
        <w:ind w:left="420" w:leftChars="0" w:hanging="420" w:firstLineChars="0"/>
        <w:rPr>
          <w:rFonts w:hint="eastAsia" w:eastAsia="宋体"/>
          <w:b w:val="0"/>
          <w:bCs w:val="0"/>
          <w:sz w:val="21"/>
          <w:szCs w:val="21"/>
          <w:u w:val="none"/>
          <w:lang w:val="en-US" w:eastAsia="zh-CN"/>
        </w:rPr>
      </w:pPr>
      <w:r>
        <w:rPr>
          <w:rFonts w:hint="default" w:ascii="Times New Roman" w:hAnsi="Times New Roman" w:cs="Times New Roman"/>
          <w:b w:val="0"/>
          <w:bCs w:val="0"/>
          <w:i w:val="0"/>
          <w:iCs w:val="0"/>
          <w:sz w:val="20"/>
          <w:szCs w:val="20"/>
          <w:u w:val="none"/>
          <w:lang w:eastAsia="zh-CN"/>
        </w:rPr>
        <w:t>Test setup for scenario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20"/>
        <w:rPr>
          <w:rFonts w:eastAsia="宋体"/>
          <w:sz w:val="21"/>
          <w:szCs w:val="21"/>
          <w:lang w:eastAsia="en-GB"/>
        </w:rPr>
      </w:pPr>
      <w:r>
        <w:rPr>
          <w:rFonts w:eastAsia="宋体"/>
          <w:sz w:val="21"/>
          <w:szCs w:val="21"/>
          <w:lang w:eastAsia="en-GB"/>
        </w:rPr>
        <w:t>Discussion in last meeting from [1] is summarized below:</w:t>
      </w:r>
    </w:p>
    <w:p>
      <w:pPr>
        <w:snapToGrid w:val="0"/>
        <w:spacing w:before="120" w:after="120"/>
        <w:rPr>
          <w:rFonts w:hint="default" w:ascii="Times New Roman" w:hAnsi="Times New Roman" w:cs="Times New Roman"/>
          <w:b/>
          <w:bCs/>
          <w:i w:val="0"/>
          <w:iCs w:val="0"/>
          <w:sz w:val="20"/>
          <w:szCs w:val="20"/>
          <w:u w:val="single"/>
          <w:lang w:eastAsia="zh-CN"/>
        </w:rPr>
      </w:pPr>
      <w:r>
        <w:rPr>
          <w:rFonts w:hint="default" w:ascii="Times New Roman" w:hAnsi="Times New Roman" w:cs="Times New Roman"/>
          <w:b/>
          <w:bCs/>
          <w:i w:val="0"/>
          <w:iCs w:val="0"/>
          <w:sz w:val="20"/>
          <w:szCs w:val="20"/>
          <w:u w:val="single"/>
          <w:lang w:eastAsia="zh-CN"/>
        </w:rPr>
        <w:t>Test setup for scenario 2</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7"/>
              <w:tabs>
                <w:tab w:val="left" w:pos="226"/>
                <w:tab w:val="left" w:pos="284"/>
                <w:tab w:val="left" w:pos="5103"/>
              </w:tabs>
              <w:snapToGrid w:val="0"/>
              <w:spacing w:before="156" w:beforeLines="5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Test setup for scenario 2</w:t>
            </w:r>
          </w:p>
          <w:p>
            <w:pPr>
              <w:pStyle w:val="7"/>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 xml:space="preserve">Define one set of test setup with the new NWA signalling on LTE CBW configured. </w:t>
            </w:r>
          </w:p>
          <w:p>
            <w:pPr>
              <w:pStyle w:val="7"/>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FFS whether to define the other set of test setup with only inter-RAT MO configured:</w:t>
            </w:r>
          </w:p>
          <w:p>
            <w:pPr>
              <w:pStyle w:val="7"/>
              <w:tabs>
                <w:tab w:val="left" w:pos="226"/>
                <w:tab w:val="left" w:pos="284"/>
                <w:tab w:val="left" w:pos="5103"/>
              </w:tabs>
              <w:snapToGrid w:val="0"/>
              <w:spacing w:before="156" w:beforeLines="5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–FFS whether the same test requirements for CRS-IM can be applied in the two sets of test setup, considering that:</w:t>
            </w:r>
          </w:p>
          <w:p>
            <w:pPr>
              <w:pStyle w:val="7"/>
              <w:numPr>
                <w:ilvl w:val="0"/>
                <w:numId w:val="0"/>
              </w:numPr>
              <w:tabs>
                <w:tab w:val="left" w:pos="226"/>
                <w:tab w:val="left" w:pos="284"/>
                <w:tab w:val="left" w:pos="5103"/>
              </w:tabs>
              <w:snapToGrid w:val="0"/>
              <w:spacing w:before="156" w:beforeLines="50"/>
              <w:ind w:leftChars="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 xml:space="preserve">   Whether or not to assume no error in LTE CBW detection: 1) based on PBCH decoding and/or power detection for the two interferers with different power level, or 2) based on PBCH decoding and/or power detection for the first dominant interferer.</w:t>
            </w:r>
          </w:p>
          <w:p>
            <w:pPr>
              <w:pStyle w:val="7"/>
              <w:numPr>
                <w:ilvl w:val="0"/>
                <w:numId w:val="0"/>
              </w:numPr>
              <w:tabs>
                <w:tab w:val="left" w:pos="226"/>
                <w:tab w:val="left" w:pos="284"/>
                <w:tab w:val="left" w:pos="5103"/>
              </w:tabs>
              <w:snapToGrid w:val="0"/>
              <w:spacing w:before="156" w:beforeLines="50"/>
              <w:ind w:leftChars="0" w:firstLine="630" w:firstLineChars="30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TE does not start PDSCH scheduling of serving cell until UE acquires LTE channel bandwidth, further discuss the time needed for UE to acquire LTE channel bandwidth:</w:t>
            </w:r>
          </w:p>
          <w:p>
            <w:pPr>
              <w:pStyle w:val="7"/>
              <w:numPr>
                <w:ilvl w:val="0"/>
                <w:numId w:val="0"/>
              </w:numPr>
              <w:tabs>
                <w:tab w:val="left" w:pos="226"/>
                <w:tab w:val="left" w:pos="284"/>
                <w:tab w:val="left" w:pos="5103"/>
              </w:tabs>
              <w:snapToGrid w:val="0"/>
              <w:spacing w:before="156" w:beforeLines="50"/>
              <w:ind w:left="420" w:leftChars="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Option A: N x inter-RAT measurement period where N is the number of inter-RAT measurement configuration. One candidate value for N is 4, and other values are not precluded. FFS for the inter-RAT measurement period.</w:t>
            </w:r>
          </w:p>
          <w:p>
            <w:pPr>
              <w:pStyle w:val="7"/>
              <w:numPr>
                <w:ilvl w:val="0"/>
                <w:numId w:val="0"/>
              </w:numPr>
              <w:tabs>
                <w:tab w:val="left" w:pos="226"/>
                <w:tab w:val="left" w:pos="284"/>
                <w:tab w:val="left" w:pos="5103"/>
              </w:tabs>
              <w:snapToGrid w:val="0"/>
              <w:spacing w:before="156" w:beforeLines="50"/>
              <w:ind w:left="420" w:leftChars="0" w:firstLine="210" w:firstLineChars="10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Other options are not precluded</w:t>
            </w:r>
          </w:p>
          <w:p>
            <w:pPr>
              <w:pStyle w:val="7"/>
              <w:tabs>
                <w:tab w:val="left" w:pos="226"/>
                <w:tab w:val="left" w:pos="284"/>
                <w:tab w:val="left" w:pos="5103"/>
              </w:tabs>
              <w:snapToGrid w:val="0"/>
              <w:spacing w:before="156" w:beforeLines="50"/>
              <w:ind w:firstLine="420" w:firstLineChars="200"/>
              <w:rPr>
                <w:rFonts w:hint="eastAsia" w:eastAsia="宋体"/>
                <w:color w:val="auto"/>
                <w:sz w:val="21"/>
                <w:szCs w:val="21"/>
                <w:vertAlign w:val="baseline"/>
                <w:lang w:val="en-US" w:eastAsia="zh-CN"/>
              </w:rPr>
            </w:pPr>
            <w:r>
              <w:rPr>
                <w:rFonts w:hint="eastAsia" w:eastAsia="宋体"/>
                <w:color w:val="auto"/>
                <w:sz w:val="21"/>
                <w:szCs w:val="21"/>
                <w:vertAlign w:val="baseline"/>
                <w:lang w:val="en-US" w:eastAsia="zh-CN"/>
              </w:rPr>
              <w:t>Whether the inter-RAT MO is only configured during the beginning of the test or throughout the test</w:t>
            </w:r>
          </w:p>
        </w:tc>
      </w:tr>
    </w:tbl>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Based on our analysis, NR UE capable of performing CRS-IM in scenario 2 with 15 kHz SCS has two different signallings configuration, one is without new network assistant signalling and another is with Rel-17 new network assistant signalling on LTE channel bandwidth. So it has different ways to acquire LTE channel bandwidth. It is necessary to define the other set of test set up with only inter-RAT MO configured. Firstly, We think there is no error on LTE CBW detection based on PBCH decoding or power detection. The minimum performance of PBCH is about -6dB for LTE decoding. Based on this value, we believe that the minimum performance of PBCH is lower than this value for NR UE. So, it is reasonable to assume no error for PBCH decoding. </w:t>
      </w:r>
    </w:p>
    <w:p>
      <w:pPr>
        <w:pStyle w:val="7"/>
        <w:tabs>
          <w:tab w:val="left" w:pos="226"/>
          <w:tab w:val="left" w:pos="284"/>
          <w:tab w:val="left" w:pos="5103"/>
        </w:tabs>
        <w:snapToGrid w:val="0"/>
        <w:spacing w:before="156" w:beforeLines="50"/>
        <w:rPr>
          <w:rFonts w:hint="default" w:eastAsia="宋体"/>
          <w:color w:val="auto"/>
          <w:sz w:val="21"/>
          <w:szCs w:val="21"/>
          <w:highlight w:val="yellow"/>
          <w:vertAlign w:val="baseline"/>
          <w:lang w:val="en-US" w:eastAsia="zh-CN"/>
        </w:rPr>
      </w:pPr>
      <w:r>
        <w:rPr>
          <w:rFonts w:hint="eastAsia" w:eastAsia="宋体"/>
          <w:color w:val="auto"/>
          <w:sz w:val="21"/>
          <w:szCs w:val="21"/>
          <w:lang w:val="en-US" w:eastAsia="zh-CN"/>
        </w:rPr>
        <w:t xml:space="preserve">For the time need for UE to acquire LTE channel bandwidth, we think Option A is reasonable. In the previous discussion, PBCH can be decoded during the measurement gap. And the maximum number of PBCH detection is four. Based on this reason, Option A is reasonable. </w:t>
      </w:r>
    </w:p>
    <w:p>
      <w:pPr>
        <w:pStyle w:val="7"/>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The inter-RAT MO can be configured during the beginning of the test to acquire LTE cell information. If the UE acquire LTE cell information at the beginning, it can be always used until</w:t>
      </w:r>
      <w:bookmarkStart w:id="0" w:name="_GoBack"/>
      <w:bookmarkEnd w:id="0"/>
      <w:r>
        <w:rPr>
          <w:rFonts w:hint="eastAsia" w:eastAsia="宋体"/>
          <w:color w:val="auto"/>
          <w:sz w:val="21"/>
          <w:szCs w:val="21"/>
          <w:lang w:val="en-US" w:eastAsia="zh-CN"/>
        </w:rPr>
        <w:t xml:space="preserve"> test is end. </w:t>
      </w:r>
    </w:p>
    <w:p>
      <w:pPr>
        <w:jc w:val="both"/>
        <w:rPr>
          <w:rFonts w:hint="default"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It is necessary to de</w:t>
      </w:r>
      <w:r>
        <w:rPr>
          <w:rFonts w:hint="eastAsia" w:eastAsia="宋体"/>
          <w:b/>
          <w:bCs/>
          <w:color w:val="auto"/>
          <w:sz w:val="21"/>
          <w:szCs w:val="21"/>
          <w:lang w:val="en-US" w:eastAsia="zh-CN"/>
        </w:rPr>
        <w:t>fine the other set of test set up with only inter-RAT MO configured</w:t>
      </w:r>
      <w:r>
        <w:rPr>
          <w:rFonts w:hint="eastAsia" w:eastAsia="宋体"/>
          <w:color w:val="auto"/>
          <w:sz w:val="21"/>
          <w:szCs w:val="21"/>
          <w:lang w:val="en-US" w:eastAsia="zh-CN"/>
        </w:rPr>
        <w:t>.</w:t>
      </w:r>
    </w:p>
    <w:p>
      <w:pPr>
        <w:jc w:val="both"/>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2: </w:t>
      </w:r>
      <w:r>
        <w:rPr>
          <w:rFonts w:hint="eastAsia" w:eastAsia="宋体"/>
          <w:b/>
          <w:bCs/>
          <w:color w:val="auto"/>
          <w:sz w:val="21"/>
          <w:szCs w:val="21"/>
          <w:vertAlign w:val="baseline"/>
          <w:lang w:val="en-US" w:eastAsia="zh-CN"/>
        </w:rPr>
        <w:t>N x inter-RAT measurement period where N is the number of inter-RAT measurement configuration and N is 4.</w:t>
      </w:r>
    </w:p>
    <w:p>
      <w:pPr>
        <w:jc w:val="both"/>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3: T</w:t>
      </w:r>
      <w:r>
        <w:rPr>
          <w:rFonts w:hint="eastAsia" w:eastAsia="宋体"/>
          <w:b/>
          <w:bCs/>
          <w:color w:val="auto"/>
          <w:sz w:val="21"/>
          <w:szCs w:val="21"/>
          <w:vertAlign w:val="baseline"/>
          <w:lang w:val="en-US" w:eastAsia="zh-CN"/>
        </w:rPr>
        <w:t>he inter-RAT MO is only configured during the beginning of the test</w:t>
      </w:r>
      <w:r>
        <w:rPr>
          <w:rFonts w:hint="eastAsia" w:eastAsia="宋体"/>
          <w:color w:val="auto"/>
          <w:sz w:val="21"/>
          <w:szCs w:val="21"/>
          <w:vertAlign w:val="baseline"/>
          <w:lang w:val="en-US" w:eastAsia="zh-CN"/>
        </w:rPr>
        <w: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7"/>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for :</w:t>
      </w:r>
    </w:p>
    <w:p>
      <w:pPr>
        <w:jc w:val="both"/>
        <w:rPr>
          <w:rFonts w:hint="default" w:ascii="Times New Roman" w:hAnsi="Times New Roman"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w:t>
      </w:r>
      <w:r>
        <w:rPr>
          <w:rFonts w:hint="eastAsia" w:eastAsia="宋体"/>
          <w:b/>
          <w:bCs/>
          <w:color w:val="auto"/>
          <w:sz w:val="21"/>
          <w:szCs w:val="21"/>
          <w:lang w:val="en-US" w:eastAsia="zh-CN"/>
        </w:rPr>
        <w:t xml:space="preserve">It is </w:t>
      </w:r>
      <w:r>
        <w:rPr>
          <w:rFonts w:hint="eastAsia" w:eastAsia="宋体" w:cs="Times New Roman"/>
          <w:b/>
          <w:bCs/>
          <w:color w:val="auto"/>
          <w:sz w:val="21"/>
          <w:szCs w:val="21"/>
          <w:highlight w:val="none"/>
          <w:lang w:val="en-US" w:eastAsia="zh-CN" w:bidi="ar-SA"/>
        </w:rPr>
        <w:t xml:space="preserve">necessary </w:t>
      </w:r>
      <w:r>
        <w:rPr>
          <w:rFonts w:hint="eastAsia" w:eastAsia="宋体"/>
          <w:b/>
          <w:bCs/>
          <w:color w:val="auto"/>
          <w:sz w:val="21"/>
          <w:szCs w:val="21"/>
          <w:lang w:val="en-US" w:eastAsia="zh-CN"/>
        </w:rPr>
        <w:t>to define the other set of test set up with only inter-RAT MO configured</w:t>
      </w:r>
      <w:r>
        <w:rPr>
          <w:rFonts w:hint="eastAsia" w:eastAsia="宋体"/>
          <w:color w:val="auto"/>
          <w:sz w:val="21"/>
          <w:szCs w:val="21"/>
          <w:lang w:val="en-US" w:eastAsia="zh-CN"/>
        </w:rPr>
        <w:t>.</w:t>
      </w:r>
    </w:p>
    <w:p>
      <w:pPr>
        <w:jc w:val="both"/>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2: </w:t>
      </w:r>
      <w:r>
        <w:rPr>
          <w:rFonts w:hint="eastAsia" w:eastAsia="宋体"/>
          <w:b/>
          <w:bCs/>
          <w:color w:val="auto"/>
          <w:sz w:val="21"/>
          <w:szCs w:val="21"/>
          <w:vertAlign w:val="baseline"/>
          <w:lang w:val="en-US" w:eastAsia="zh-CN"/>
        </w:rPr>
        <w:t>N x inter-RAT measurement period where N is the number of inter-RAT measurement configuration and N is 4.</w:t>
      </w:r>
    </w:p>
    <w:p>
      <w:pPr>
        <w:jc w:val="both"/>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 3: T</w:t>
      </w:r>
      <w:r>
        <w:rPr>
          <w:rFonts w:hint="eastAsia" w:eastAsia="宋体"/>
          <w:b/>
          <w:bCs/>
          <w:color w:val="auto"/>
          <w:sz w:val="21"/>
          <w:szCs w:val="21"/>
          <w:vertAlign w:val="baseline"/>
          <w:lang w:val="en-US" w:eastAsia="zh-CN"/>
        </w:rPr>
        <w:t>he inter-RAT MO is only configured during the beginning of the test</w:t>
      </w:r>
      <w:r>
        <w:rPr>
          <w:rFonts w:hint="eastAsia" w:eastAsia="宋体"/>
          <w:color w:val="auto"/>
          <w:sz w:val="21"/>
          <w:szCs w:val="21"/>
          <w:vertAlign w:val="baseli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eastAsia" w:eastAsia="宋体" w:cs="Times New Roman"/>
          <w:b/>
          <w:bCs/>
          <w:color w:val="auto"/>
          <w:sz w:val="21"/>
          <w:szCs w:val="21"/>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sz w:val="21"/>
          <w:szCs w:val="21"/>
          <w:lang w:val="en-US" w:eastAsia="zh-CN"/>
        </w:rPr>
      </w:pPr>
      <w:r>
        <w:rPr>
          <w:rFonts w:hint="default" w:eastAsia="宋体"/>
          <w:color w:val="auto"/>
          <w:sz w:val="21"/>
          <w:szCs w:val="21"/>
          <w:lang w:val="en-US" w:eastAsia="zh-CN"/>
        </w:rPr>
        <w:t>R4-2207239</w:t>
      </w:r>
      <w:r>
        <w:rPr>
          <w:rFonts w:hint="eastAsia"/>
          <w:color w:val="auto"/>
          <w:sz w:val="21"/>
          <w:szCs w:val="21"/>
          <w:lang w:val="en-US" w:eastAsia="zh-CN"/>
        </w:rPr>
        <w:t>,</w:t>
      </w:r>
      <w:r>
        <w:rPr>
          <w:rFonts w:hint="default"/>
          <w:color w:val="auto"/>
          <w:sz w:val="21"/>
          <w:szCs w:val="21"/>
          <w:lang w:val="en-US" w:eastAsia="zh-CN"/>
        </w:rPr>
        <w:t>”WF on general part and 15 kHz NR SCS scenario for CRS-IM receiver”</w:t>
      </w:r>
      <w:r>
        <w:rPr>
          <w:rFonts w:hint="eastAsia"/>
          <w:color w:val="auto"/>
          <w:sz w:val="21"/>
          <w:szCs w:val="21"/>
          <w:lang w:val="en-US" w:eastAsia="zh-CN"/>
        </w:rPr>
        <w:t>. China Telecom</w:t>
      </w:r>
    </w:p>
    <w:p>
      <w:pPr>
        <w:pStyle w:val="8"/>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A74596"/>
    <w:multiLevelType w:val="singleLevel"/>
    <w:tmpl w:val="D3A74596"/>
    <w:lvl w:ilvl="0" w:tentative="0">
      <w:start w:val="1"/>
      <w:numFmt w:val="bullet"/>
      <w:lvlText w:val=""/>
      <w:lvlJc w:val="left"/>
      <w:pPr>
        <w:ind w:left="420" w:hanging="420"/>
      </w:pPr>
      <w:rPr>
        <w:rFonts w:hint="default" w:ascii="Wingdings" w:hAnsi="Wingdings"/>
        <w:sz w:val="13"/>
        <w:szCs w:val="13"/>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7F43423"/>
    <w:multiLevelType w:val="singleLevel"/>
    <w:tmpl w:val="67F43423"/>
    <w:lvl w:ilvl="0" w:tentative="0">
      <w:start w:val="1"/>
      <w:numFmt w:val="bullet"/>
      <w:lvlText w:val=""/>
      <w:lvlJc w:val="left"/>
      <w:pPr>
        <w:ind w:left="420" w:hanging="420"/>
      </w:pPr>
      <w:rPr>
        <w:rFonts w:hint="default" w:ascii="Wingdings" w:hAnsi="Wingdings"/>
      </w:rPr>
    </w:lvl>
  </w:abstractNum>
  <w:abstractNum w:abstractNumId="4">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563B7"/>
    <w:rsid w:val="03B300A3"/>
    <w:rsid w:val="03E676E0"/>
    <w:rsid w:val="043F3874"/>
    <w:rsid w:val="05847CFD"/>
    <w:rsid w:val="05C42923"/>
    <w:rsid w:val="0652333F"/>
    <w:rsid w:val="06ED5018"/>
    <w:rsid w:val="07CD3CDD"/>
    <w:rsid w:val="08044E83"/>
    <w:rsid w:val="0855671D"/>
    <w:rsid w:val="09716BCA"/>
    <w:rsid w:val="097F2D72"/>
    <w:rsid w:val="09AA016F"/>
    <w:rsid w:val="09E644B8"/>
    <w:rsid w:val="0A685857"/>
    <w:rsid w:val="0B5A119A"/>
    <w:rsid w:val="0BB0429A"/>
    <w:rsid w:val="0D206748"/>
    <w:rsid w:val="0E0973F7"/>
    <w:rsid w:val="118C54EC"/>
    <w:rsid w:val="11C13E7B"/>
    <w:rsid w:val="12911329"/>
    <w:rsid w:val="148F5721"/>
    <w:rsid w:val="14DE6572"/>
    <w:rsid w:val="15705D92"/>
    <w:rsid w:val="164657AD"/>
    <w:rsid w:val="16CA6482"/>
    <w:rsid w:val="170F06AA"/>
    <w:rsid w:val="180A6E32"/>
    <w:rsid w:val="182A488A"/>
    <w:rsid w:val="183F2CD2"/>
    <w:rsid w:val="18CD0507"/>
    <w:rsid w:val="1ACD360C"/>
    <w:rsid w:val="1AD01A1B"/>
    <w:rsid w:val="1C177B08"/>
    <w:rsid w:val="1C9001C6"/>
    <w:rsid w:val="1CBA2101"/>
    <w:rsid w:val="1D223E0B"/>
    <w:rsid w:val="1DAF4353"/>
    <w:rsid w:val="1E853F6F"/>
    <w:rsid w:val="1ECC1E3C"/>
    <w:rsid w:val="1F7D7CA8"/>
    <w:rsid w:val="1FC333DE"/>
    <w:rsid w:val="20911BDA"/>
    <w:rsid w:val="20B523B5"/>
    <w:rsid w:val="21244EB1"/>
    <w:rsid w:val="21C177D7"/>
    <w:rsid w:val="21F13629"/>
    <w:rsid w:val="24122135"/>
    <w:rsid w:val="24743B23"/>
    <w:rsid w:val="252319E3"/>
    <w:rsid w:val="266A3947"/>
    <w:rsid w:val="26BB1419"/>
    <w:rsid w:val="27D50F45"/>
    <w:rsid w:val="290F5973"/>
    <w:rsid w:val="2A7E505C"/>
    <w:rsid w:val="2A957896"/>
    <w:rsid w:val="2AC536C8"/>
    <w:rsid w:val="2BAE4EA4"/>
    <w:rsid w:val="2BC05B2C"/>
    <w:rsid w:val="2BD617C5"/>
    <w:rsid w:val="2C112837"/>
    <w:rsid w:val="2CD25CD5"/>
    <w:rsid w:val="2E1B668E"/>
    <w:rsid w:val="2EEF7E0D"/>
    <w:rsid w:val="2F2F0FC8"/>
    <w:rsid w:val="2F4C6F2C"/>
    <w:rsid w:val="2FDF5B1E"/>
    <w:rsid w:val="30EA720B"/>
    <w:rsid w:val="31B14C9E"/>
    <w:rsid w:val="3212027E"/>
    <w:rsid w:val="33F37AF5"/>
    <w:rsid w:val="34616D94"/>
    <w:rsid w:val="34646CFF"/>
    <w:rsid w:val="34F132F4"/>
    <w:rsid w:val="35B06C6A"/>
    <w:rsid w:val="36866026"/>
    <w:rsid w:val="36974990"/>
    <w:rsid w:val="36D37423"/>
    <w:rsid w:val="37396B27"/>
    <w:rsid w:val="3805464D"/>
    <w:rsid w:val="39893439"/>
    <w:rsid w:val="3A185287"/>
    <w:rsid w:val="3A692CD0"/>
    <w:rsid w:val="3B673620"/>
    <w:rsid w:val="3B9A1F29"/>
    <w:rsid w:val="3C926A6C"/>
    <w:rsid w:val="3CE4646B"/>
    <w:rsid w:val="3D5E7AA8"/>
    <w:rsid w:val="3D6F2596"/>
    <w:rsid w:val="3D8C74DB"/>
    <w:rsid w:val="3E2D152D"/>
    <w:rsid w:val="405F175E"/>
    <w:rsid w:val="40C765F3"/>
    <w:rsid w:val="415B577E"/>
    <w:rsid w:val="415F4B27"/>
    <w:rsid w:val="42F242B1"/>
    <w:rsid w:val="42F869D2"/>
    <w:rsid w:val="433366CA"/>
    <w:rsid w:val="43553536"/>
    <w:rsid w:val="43677F1C"/>
    <w:rsid w:val="448C3718"/>
    <w:rsid w:val="451632B9"/>
    <w:rsid w:val="454402A0"/>
    <w:rsid w:val="45F60A50"/>
    <w:rsid w:val="46B036BF"/>
    <w:rsid w:val="46E71A66"/>
    <w:rsid w:val="4718026A"/>
    <w:rsid w:val="47282363"/>
    <w:rsid w:val="476C03BB"/>
    <w:rsid w:val="499D11F1"/>
    <w:rsid w:val="49E55BC5"/>
    <w:rsid w:val="4A102C0D"/>
    <w:rsid w:val="4AFB221E"/>
    <w:rsid w:val="4BC553A2"/>
    <w:rsid w:val="4C1C63D6"/>
    <w:rsid w:val="4DCA1D22"/>
    <w:rsid w:val="4DDD008D"/>
    <w:rsid w:val="4E4A2325"/>
    <w:rsid w:val="501A6C55"/>
    <w:rsid w:val="50A01AF8"/>
    <w:rsid w:val="51661825"/>
    <w:rsid w:val="51B14BED"/>
    <w:rsid w:val="525C1CEF"/>
    <w:rsid w:val="53712097"/>
    <w:rsid w:val="53930AB8"/>
    <w:rsid w:val="53C64B93"/>
    <w:rsid w:val="55B1164D"/>
    <w:rsid w:val="55B4735E"/>
    <w:rsid w:val="5612655C"/>
    <w:rsid w:val="56371459"/>
    <w:rsid w:val="57607CBC"/>
    <w:rsid w:val="59257BD9"/>
    <w:rsid w:val="59AA4961"/>
    <w:rsid w:val="59DA647E"/>
    <w:rsid w:val="5A3015A3"/>
    <w:rsid w:val="5EB44FC0"/>
    <w:rsid w:val="5FBA395F"/>
    <w:rsid w:val="605D316B"/>
    <w:rsid w:val="618355A8"/>
    <w:rsid w:val="635902CD"/>
    <w:rsid w:val="63B54C58"/>
    <w:rsid w:val="63D02159"/>
    <w:rsid w:val="6438512E"/>
    <w:rsid w:val="64706BBE"/>
    <w:rsid w:val="64F2095B"/>
    <w:rsid w:val="65723BD5"/>
    <w:rsid w:val="66790DA1"/>
    <w:rsid w:val="67A858DB"/>
    <w:rsid w:val="684A253E"/>
    <w:rsid w:val="692D0998"/>
    <w:rsid w:val="69A833BD"/>
    <w:rsid w:val="69F32637"/>
    <w:rsid w:val="69F9360F"/>
    <w:rsid w:val="6B200619"/>
    <w:rsid w:val="6BAB5351"/>
    <w:rsid w:val="6CB26DF8"/>
    <w:rsid w:val="6DDE3DAF"/>
    <w:rsid w:val="6F435961"/>
    <w:rsid w:val="70B326CC"/>
    <w:rsid w:val="715F4C2D"/>
    <w:rsid w:val="72137194"/>
    <w:rsid w:val="72571CCF"/>
    <w:rsid w:val="725D0EA3"/>
    <w:rsid w:val="72BF60CA"/>
    <w:rsid w:val="73CC642D"/>
    <w:rsid w:val="7499217B"/>
    <w:rsid w:val="753811DE"/>
    <w:rsid w:val="75C759C1"/>
    <w:rsid w:val="762D64F3"/>
    <w:rsid w:val="76916AA8"/>
    <w:rsid w:val="76FD2C61"/>
    <w:rsid w:val="77173999"/>
    <w:rsid w:val="775B4604"/>
    <w:rsid w:val="77C067C3"/>
    <w:rsid w:val="78911E31"/>
    <w:rsid w:val="78BF4564"/>
    <w:rsid w:val="79B130CA"/>
    <w:rsid w:val="79B5214C"/>
    <w:rsid w:val="7A9367CB"/>
    <w:rsid w:val="7A947426"/>
    <w:rsid w:val="7AF22571"/>
    <w:rsid w:val="7BA412DA"/>
    <w:rsid w:val="7C1C35A7"/>
    <w:rsid w:val="7C45431D"/>
    <w:rsid w:val="7C8914BE"/>
    <w:rsid w:val="7CA64370"/>
    <w:rsid w:val="7D9D0299"/>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7"/>
    <w:semiHidden/>
    <w:unhideWhenUsed/>
    <w:qFormat/>
    <w:uiPriority w:val="99"/>
    <w:rPr>
      <w:rFonts w:ascii="宋体" w:eastAsia="宋体"/>
      <w:sz w:val="18"/>
      <w:szCs w:val="18"/>
    </w:rPr>
  </w:style>
  <w:style w:type="paragraph" w:styleId="7">
    <w:name w:val="Body Text"/>
    <w:basedOn w:val="1"/>
    <w:link w:val="21"/>
    <w:qFormat/>
    <w:uiPriority w:val="0"/>
    <w:pPr>
      <w:spacing w:after="120"/>
      <w:jc w:val="both"/>
    </w:pPr>
    <w:rPr>
      <w:rFonts w:eastAsia="MS Mincho"/>
      <w:lang w:val="zh-CN"/>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7"/>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6"/>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4"/>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0">
    <w:name w:val="TAN"/>
    <w:basedOn w:val="33"/>
    <w:qFormat/>
    <w:uiPriority w:val="0"/>
    <w:pPr>
      <w:overflowPunct/>
      <w:autoSpaceDE/>
      <w:autoSpaceDN/>
      <w:adjustRightInd/>
      <w:spacing w:after="0" w:line="240" w:lineRule="auto"/>
      <w:ind w:left="851" w:hanging="851"/>
      <w:textAlignment w:val="auto"/>
    </w:pPr>
    <w:rPr>
      <w:rFonts w:eastAsia="宋体"/>
      <w:kern w:val="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37</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2022-04-25T12:15:26Z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